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/>
        <w:jc w:val="center"/>
      </w:pPr>
      <w:r>
        <w:rPr>
          <w:rFonts w:ascii="微软雅黑" w:hAnsi="微软雅黑" w:eastAsia="微软雅黑"/>
          <w:b/>
          <w:color w:val="6B1C1C"/>
          <w:sz w:val="32"/>
        </w:rPr>
        <w:t>卜 喜 凉 茶 铺</w:t>
      </w:r>
    </w:p>
    <w:p>
      <w:pPr>
        <w:jc w:val="center"/>
      </w:pPr>
      <w:r>
        <w:rPr>
          <w:rFonts w:ascii="微软雅黑" w:hAnsi="微软雅黑" w:eastAsia="微软雅黑"/>
          <w:b/>
          <w:color w:val="C8A96D"/>
          <w:sz w:val="24"/>
        </w:rPr>
        <w:t>BU XI  LIANG  CHA</w:t>
      </w:r>
    </w:p>
    <w:p>
      <w:pPr>
        <w:spacing w:before="800"/>
        <w:jc w:val="center"/>
      </w:pPr>
      <w:r>
        <w:rPr>
          <w:rFonts w:ascii="微软雅黑" w:hAnsi="微软雅黑" w:eastAsia="微软雅黑"/>
          <w:b w:val="0"/>
          <w:color w:val="000000"/>
          <w:sz w:val="22"/>
        </w:rPr>
        <w:t>品 牌 视 觉 规 范</w:t>
      </w:r>
    </w:p>
    <w:p>
      <w:pPr>
        <w:spacing w:before="600"/>
        <w:jc w:val="center"/>
      </w:pPr>
      <w:r>
        <w:rPr>
          <w:rFonts w:ascii="微软雅黑" w:hAnsi="微软雅黑" w:eastAsia="微软雅黑"/>
          <w:b w:val="0"/>
          <w:color w:val="000000"/>
          <w:sz w:val="22"/>
        </w:rPr>
        <w:t>VISUAL IDENTITY GUIDELINES  ·  v1.0</w:t>
        <w:br/>
        <w:t>主体：福州市仓山区城门镇卜喜凉茶铺</w:t>
      </w:r>
    </w:p>
    <w:p/>
    <w:p>
      <w:r>
        <w:rPr>
          <w:rFonts w:ascii="微软雅黑" w:hAnsi="微软雅黑" w:eastAsia="微软雅黑"/>
          <w:b/>
          <w:color w:val="C8A96D"/>
          <w:sz w:val="28"/>
        </w:rPr>
        <w:t>一、</w:t>
      </w:r>
      <w:r>
        <w:rPr>
          <w:rFonts w:ascii="微软雅黑" w:hAnsi="微软雅黑" w:eastAsia="微软雅黑"/>
          <w:b/>
          <w:color w:val="6B1C1C"/>
          <w:sz w:val="28"/>
        </w:rPr>
        <w:t>品牌色彩系统</w:t>
      </w:r>
    </w:p>
    <w:p>
      <w:pPr>
        <w:spacing w:after="160"/>
      </w:pPr>
      <w:r>
        <w:rPr>
          <w:rFonts w:ascii="微软雅黑" w:hAnsi="微软雅黑" w:eastAsia="微软雅黑"/>
          <w:b w:val="0"/>
          <w:color w:val="000000"/>
          <w:sz w:val="22"/>
        </w:rPr>
        <w:t>深酒红（#6B1C1C）为卜喜凉茶铺唯一主色，贯穿所有品牌物料；金与浅金为辅色，仅作点缀与浅底，不得反客为主。严禁使用任何其他品牌的主题色（含南能控股绿色）。</w:t>
      </w:r>
    </w:p>
    <w:p>
      <w:pPr>
        <w:spacing w:after="40"/>
      </w:pPr>
    </w:p>
    <w:p>
      <w:r>
        <w:rPr>
          <w:rFonts w:ascii="微软雅黑" w:hAnsi="微软雅黑" w:eastAsia="微软雅黑"/>
          <w:b w:val="0"/>
          <w:color w:val="000000"/>
          <w:sz w:val="22"/>
        </w:rPr>
        <w:t>注：主色使用占比建议 ≥ 60%，辅色合计 ≤ 40%。金仅用于精致点缀，不可大面积铺底。</w:t>
      </w:r>
    </w:p>
    <w:p>
      <w:r>
        <w:rPr>
          <w:rFonts w:ascii="微软雅黑" w:hAnsi="微软雅黑" w:eastAsia="微软雅黑"/>
          <w:b/>
          <w:color w:val="C8A96D"/>
          <w:sz w:val="28"/>
        </w:rPr>
        <w:t>二、</w:t>
      </w:r>
      <w:r>
        <w:rPr>
          <w:rFonts w:ascii="微软雅黑" w:hAnsi="微软雅黑" w:eastAsia="微软雅黑"/>
          <w:b/>
          <w:color w:val="6B1C1C"/>
          <w:sz w:val="28"/>
        </w:rPr>
        <w:t>字体规范</w:t>
      </w:r>
    </w:p>
    <w:p>
      <w:pPr>
        <w:spacing w:after="120"/>
      </w:pPr>
      <w:r>
        <w:rPr>
          <w:rFonts w:ascii="微软雅黑" w:hAnsi="微软雅黑" w:eastAsia="微软雅黑"/>
          <w:b w:val="0"/>
          <w:color w:val="000000"/>
          <w:sz w:val="22"/>
        </w:rPr>
        <w:t>中文统一使用「微软雅黑」；英文/数字可使用同族或无衬线体。禁止使用南能控股指定的「方正小标宋简体」等其它品牌字体。</w:t>
      </w:r>
    </w:p>
    <w:p>
      <w:r>
        <w:rPr>
          <w:rFonts w:ascii="微软雅黑" w:hAnsi="微软雅黑" w:eastAsia="微软雅黑"/>
          <w:b/>
          <w:color w:val="C8A96D"/>
          <w:sz w:val="28"/>
        </w:rPr>
        <w:t>三、</w:t>
      </w:r>
      <w:r>
        <w:rPr>
          <w:rFonts w:ascii="微软雅黑" w:hAnsi="微软雅黑" w:eastAsia="微软雅黑"/>
          <w:b/>
          <w:color w:val="6B1C1C"/>
          <w:sz w:val="28"/>
        </w:rPr>
        <w:t>LOGO 使用规范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摆放：封面右上角或顶部居中；内页统一置于页面右上角（约 1.5×1.5cm）。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留白：LOGO 四周保留不小于其高度 1/2 的空白，不得与文字或其它图形紧贴。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最小尺寸：印刷不小于 1.2cm，屏幕不小于 48px，过小则改用文字标识。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禁止：不得拉伸变形、不得更改主色、不得加阴影/描边/渐变等特效、不得置于复杂背景上降低辨识。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配色：LOGO 在奶金/白底上使用原色；在酒红块上使用反白（白）版本。</w:t>
      </w:r>
    </w:p>
    <w:p>
      <w:r>
        <w:rPr>
          <w:rFonts w:ascii="微软雅黑" w:hAnsi="微软雅黑" w:eastAsia="微软雅黑"/>
          <w:b/>
          <w:color w:val="C8A96D"/>
          <w:sz w:val="28"/>
        </w:rPr>
        <w:t>四、</w:t>
      </w:r>
      <w:r>
        <w:rPr>
          <w:rFonts w:ascii="微软雅黑" w:hAnsi="微软雅黑" w:eastAsia="微软雅黑"/>
          <w:b/>
          <w:color w:val="6B1C1C"/>
          <w:sz w:val="28"/>
        </w:rPr>
        <w:t>各物料应用规范</w:t>
      </w:r>
    </w:p>
    <w:p>
      <w:r>
        <w:rPr>
          <w:rFonts w:ascii="微软雅黑" w:hAnsi="微软雅黑" w:eastAsia="微软雅黑"/>
          <w:b/>
          <w:color w:val="C8A96D"/>
          <w:sz w:val="28"/>
        </w:rPr>
        <w:t>五、</w:t>
      </w:r>
      <w:r>
        <w:rPr>
          <w:rFonts w:ascii="微软雅黑" w:hAnsi="微软雅黑" w:eastAsia="微软雅黑"/>
          <w:b/>
          <w:color w:val="6B1C1C"/>
          <w:sz w:val="28"/>
        </w:rPr>
        <w:t>配色与品牌禁用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严禁使用南能控股主题色（深绿 #1B5E20、亮绿 #4CAF50 及其浅绿变体）——两品牌视觉体系统一独立。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全稿主色不超过 1 个（酒红），辅色不超过 2 个（金、浅金）。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禁止使用高饱和荧光色、与酒红冲突的亮绿/亮蓝作为品牌色。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不得在任何对外物料出现其它公司的 LOGO、字体或标语。</w:t>
      </w:r>
    </w:p>
    <w:p>
      <w:r>
        <w:rPr>
          <w:rFonts w:ascii="微软雅黑" w:hAnsi="微软雅黑" w:eastAsia="微软雅黑"/>
          <w:b w:val="0"/>
          <w:color w:val="000000"/>
          <w:sz w:val="22"/>
        </w:rPr>
        <w:t>附录：标准色值表（印刷参考）</w:t>
      </w:r>
    </w:p>
    <w:p>
      <w:pPr>
        <w:spacing w:after="80"/>
      </w:pPr>
    </w:p>
    <w:p>
      <w:pPr>
        <w:jc w:val="center"/>
      </w:pPr>
      <w:r>
        <w:rPr>
          <w:rFonts w:ascii="微软雅黑" w:hAnsi="微软雅黑" w:eastAsia="微软雅黑"/>
          <w:b w:val="0"/>
          <w:color w:val="000000"/>
          <w:sz w:val="22"/>
        </w:rPr>
        <w:t>—— 本规范自发布之日起执行，解释权归福州市仓山区城门镇卜喜凉茶铺 ——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6B1C1C"/>
            <w:shd w:val="clear" w:color="auto" w:fill="6B1C1C"/>
          </w:tcPr>
          <w:p/>
        </w:tc>
        <w:tc>
          <w:tcPr>
            <w:tcW w:type="dxa" w:w="2160"/>
            <w:shd w:val="clear" w:color="auto" w:fill="6B1C1C"/>
            <w:shd w:val="clear" w:color="auto" w:fill="6B1C1C"/>
          </w:tcPr>
          <w:p/>
        </w:tc>
        <w:tc>
          <w:tcPr>
            <w:tcW w:type="dxa" w:w="2160"/>
            <w:shd w:val="clear" w:color="auto" w:fill="6B1C1C"/>
            <w:shd w:val="clear" w:color="auto" w:fill="6B1C1C"/>
          </w:tcPr>
          <w:p/>
        </w:tc>
        <w:tc>
          <w:tcPr>
            <w:tcW w:type="dxa" w:w="2160"/>
            <w:shd w:val="clear" w:color="auto" w:fill="6B1C1C"/>
            <w:shd w:val="clear" w:color="auto" w:fill="6B1C1C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6B1C1C"/>
            <w:shd w:val="clear" w:color="auto" w:fill="6B1C1C"/>
          </w:tcPr>
          <w:p/>
        </w:tc>
        <w:tc>
          <w:tcPr>
            <w:tcW w:type="dxa" w:w="2880"/>
            <w:shd w:val="clear" w:color="auto" w:fill="6B1C1C"/>
            <w:shd w:val="clear" w:color="auto" w:fill="6B1C1C"/>
          </w:tcPr>
          <w:p/>
        </w:tc>
        <w:tc>
          <w:tcPr>
            <w:tcW w:type="dxa" w:w="2880"/>
            <w:shd w:val="clear" w:color="auto" w:fill="6B1C1C"/>
            <w:shd w:val="clear" w:color="auto" w:fill="6B1C1C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6B1C1C"/>
            <w:shd w:val="clear" w:color="auto" w:fill="6B1C1C"/>
          </w:tcPr>
          <w:p/>
        </w:tc>
        <w:tc>
          <w:tcPr>
            <w:tcW w:type="dxa" w:w="2880"/>
            <w:shd w:val="clear" w:color="auto" w:fill="6B1C1C"/>
            <w:shd w:val="clear" w:color="auto" w:fill="6B1C1C"/>
          </w:tcPr>
          <w:p/>
        </w:tc>
        <w:tc>
          <w:tcPr>
            <w:tcW w:type="dxa" w:w="2880"/>
            <w:shd w:val="clear" w:color="auto" w:fill="6B1C1C"/>
            <w:shd w:val="clear" w:color="auto" w:fill="6B1C1C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6B1C1C"/>
            <w:shd w:val="clear" w:color="auto" w:fill="6B1C1C"/>
          </w:tcPr>
          <w:p/>
        </w:tc>
        <w:tc>
          <w:tcPr>
            <w:tcW w:type="dxa" w:w="1728"/>
            <w:shd w:val="clear" w:color="auto" w:fill="6B1C1C"/>
            <w:shd w:val="clear" w:color="auto" w:fill="6B1C1C"/>
          </w:tcPr>
          <w:p/>
        </w:tc>
        <w:tc>
          <w:tcPr>
            <w:tcW w:type="dxa" w:w="1728"/>
            <w:shd w:val="clear" w:color="auto" w:fill="6B1C1C"/>
            <w:shd w:val="clear" w:color="auto" w:fill="6B1C1C"/>
          </w:tcPr>
          <w:p/>
        </w:tc>
        <w:tc>
          <w:tcPr>
            <w:tcW w:type="dxa" w:w="1728"/>
            <w:shd w:val="clear" w:color="auto" w:fill="6B1C1C"/>
            <w:shd w:val="clear" w:color="auto" w:fill="6B1C1C"/>
          </w:tcPr>
          <w:p/>
        </w:tc>
        <w:tc>
          <w:tcPr>
            <w:tcW w:type="dxa" w:w="1728"/>
            <w:shd w:val="clear" w:color="auto" w:fill="6B1C1C"/>
            <w:shd w:val="clear" w:color="auto" w:fill="6B1C1C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